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812F" w14:textId="08E30B3E" w:rsidR="00634ADE" w:rsidRPr="007D62D4" w:rsidRDefault="009E1182" w:rsidP="00560B2A">
      <w:pPr>
        <w:pStyle w:val="Heading1"/>
      </w:pPr>
      <w:r>
        <w:rPr>
          <w:noProof/>
        </w:rPr>
        <w:drawing>
          <wp:anchor distT="0" distB="0" distL="114300" distR="114300" simplePos="0" relativeHeight="251658240" behindDoc="1" locked="0" layoutInCell="1" allowOverlap="1" wp14:anchorId="28DCDA62" wp14:editId="61C56624">
            <wp:simplePos x="0" y="0"/>
            <wp:positionH relativeFrom="margin">
              <wp:posOffset>-69025</wp:posOffset>
            </wp:positionH>
            <wp:positionV relativeFrom="paragraph">
              <wp:posOffset>-498475</wp:posOffset>
            </wp:positionV>
            <wp:extent cx="494030" cy="4940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anchor>
        </w:drawing>
      </w:r>
      <w:r w:rsidR="00634ADE" w:rsidRPr="007D62D4">
        <w:t xml:space="preserve">LGA Guide </w:t>
      </w:r>
      <w:r w:rsidR="00634ADE" w:rsidRPr="00560B2A">
        <w:t>Tool</w:t>
      </w:r>
      <w:r w:rsidR="00634ADE" w:rsidRPr="007D62D4">
        <w:t xml:space="preserve"> 1 </w:t>
      </w:r>
    </w:p>
    <w:p w14:paraId="061FC6F0" w14:textId="7AE038EC" w:rsidR="00634ADE" w:rsidRPr="00F778CF" w:rsidRDefault="00634ADE" w:rsidP="00560B2A">
      <w:pPr>
        <w:pStyle w:val="Heading2"/>
      </w:pPr>
      <w:r w:rsidRPr="00F778CF">
        <w:t xml:space="preserve">Local Government </w:t>
      </w:r>
      <w:r w:rsidRPr="00560B2A">
        <w:t>Leases</w:t>
      </w:r>
      <w:r w:rsidRPr="00F778CF">
        <w:t xml:space="preserve"> – Alcohol </w:t>
      </w:r>
      <w:r w:rsidR="00CB02F6" w:rsidRPr="00F778CF">
        <w:t>Pro</w:t>
      </w:r>
      <w:r w:rsidR="00C23F91" w:rsidRPr="00F778CF">
        <w:t xml:space="preserve">duct </w:t>
      </w:r>
      <w:r w:rsidRPr="00F778CF">
        <w:t>Availability, Sponsorships and Advertising</w:t>
      </w:r>
    </w:p>
    <w:p w14:paraId="3A64A98A" w14:textId="77777777" w:rsidR="006C5932" w:rsidRDefault="006C5932"/>
    <w:p w14:paraId="42C8DB24" w14:textId="77777777" w:rsidR="00016BB1" w:rsidRPr="00F54802" w:rsidRDefault="00016BB1" w:rsidP="00F54802">
      <w:pPr>
        <w:pStyle w:val="Heading3"/>
      </w:pPr>
      <w:r w:rsidRPr="00F54802">
        <w:t xml:space="preserve">Policy </w:t>
      </w:r>
      <w:r w:rsidRPr="00F54802">
        <w:rPr>
          <w:rStyle w:val="Heading3Char"/>
          <w:b/>
        </w:rPr>
        <w:t>Objective</w:t>
      </w:r>
    </w:p>
    <w:p w14:paraId="2E8BBCE9" w14:textId="252E86F7" w:rsidR="006C5932" w:rsidRDefault="006C5932">
      <w:r>
        <w:t xml:space="preserve">ABC Council </w:t>
      </w:r>
      <w:r w:rsidR="00A17165">
        <w:t xml:space="preserve">believes that the community should have control over how alcohol is marketed and sold to </w:t>
      </w:r>
      <w:r w:rsidR="009E5B56">
        <w:t xml:space="preserve">its </w:t>
      </w:r>
      <w:r w:rsidR="002C512E">
        <w:t xml:space="preserve">citizens. ABC Council </w:t>
      </w:r>
      <w:r w:rsidR="00AB3EC5">
        <w:t xml:space="preserve">is committed to ensuring that activities </w:t>
      </w:r>
      <w:r>
        <w:t xml:space="preserve">at sporting and community venues owned or leased by Council </w:t>
      </w:r>
      <w:r w:rsidR="00076814">
        <w:t xml:space="preserve">align with the objectives outlined in our Public Health and Wellbeing Plan/Council plan to </w:t>
      </w:r>
      <w:r w:rsidR="00ED2BA1">
        <w:t>support</w:t>
      </w:r>
      <w:r w:rsidR="00076814">
        <w:t xml:space="preserve"> the health and </w:t>
      </w:r>
      <w:r w:rsidR="00ED2BA1">
        <w:t xml:space="preserve">wellbeing of </w:t>
      </w:r>
      <w:r w:rsidR="008B6CB7">
        <w:t>our</w:t>
      </w:r>
      <w:r w:rsidR="00ED2BA1">
        <w:t xml:space="preserve"> </w:t>
      </w:r>
      <w:r w:rsidR="008B6CB7">
        <w:t>community</w:t>
      </w:r>
      <w:r w:rsidR="00BD4319">
        <w:t xml:space="preserve"> and </w:t>
      </w:r>
      <w:r w:rsidR="004D7962">
        <w:t xml:space="preserve">promote </w:t>
      </w:r>
      <w:r w:rsidR="00BD4319">
        <w:t>environmental sustainability</w:t>
      </w:r>
      <w:r>
        <w:t>.</w:t>
      </w:r>
      <w:r w:rsidR="0011772B">
        <w:t xml:space="preserve"> </w:t>
      </w:r>
    </w:p>
    <w:p w14:paraId="41DAFF66" w14:textId="05948A66" w:rsidR="006C5932" w:rsidRDefault="006C5932">
      <w:r>
        <w:t>This policy specifically relates to the promotion and advertising of alcohol</w:t>
      </w:r>
      <w:r w:rsidR="00BD4319">
        <w:t xml:space="preserve"> products</w:t>
      </w:r>
      <w:r>
        <w:t>.</w:t>
      </w:r>
    </w:p>
    <w:p w14:paraId="0984D435" w14:textId="77777777" w:rsidR="00016BB1" w:rsidRPr="00016BB1" w:rsidRDefault="00016BB1" w:rsidP="00C4362B">
      <w:pPr>
        <w:pStyle w:val="Heading3"/>
        <w:rPr>
          <w:shd w:val="clear" w:color="auto" w:fill="FFFFFF"/>
        </w:rPr>
      </w:pPr>
      <w:r w:rsidRPr="00016BB1">
        <w:rPr>
          <w:shd w:val="clear" w:color="auto" w:fill="FFFFFF"/>
        </w:rPr>
        <w:t>Policy Rationale</w:t>
      </w:r>
    </w:p>
    <w:p w14:paraId="6D955CCF" w14:textId="76C1AB21" w:rsidR="00466365" w:rsidRPr="00016BB1" w:rsidRDefault="00466365" w:rsidP="00466365">
      <w:pPr>
        <w:rPr>
          <w:rFonts w:cstheme="minorHAnsi"/>
          <w:color w:val="1C1D1E"/>
          <w:shd w:val="clear" w:color="auto" w:fill="FFFFFF"/>
        </w:rPr>
      </w:pPr>
      <w:r w:rsidRPr="00016BB1">
        <w:rPr>
          <w:rFonts w:cstheme="minorHAnsi"/>
          <w:bCs/>
          <w:color w:val="1C1D1E"/>
          <w:shd w:val="clear" w:color="auto" w:fill="FFFFFF"/>
        </w:rPr>
        <w:t>S</w:t>
      </w:r>
      <w:r w:rsidRPr="00016BB1">
        <w:rPr>
          <w:rFonts w:cstheme="minorHAnsi"/>
          <w:color w:val="1C1D1E"/>
          <w:shd w:val="clear" w:color="auto" w:fill="FFFFFF"/>
        </w:rPr>
        <w:t xml:space="preserve">port and community settings </w:t>
      </w:r>
      <w:r>
        <w:rPr>
          <w:rFonts w:cstheme="minorHAnsi"/>
          <w:color w:val="1C1D1E"/>
          <w:shd w:val="clear" w:color="auto" w:fill="FFFFFF"/>
        </w:rPr>
        <w:t>provide councils with an</w:t>
      </w:r>
      <w:r w:rsidRPr="00016BB1">
        <w:rPr>
          <w:rFonts w:cstheme="minorHAnsi"/>
          <w:color w:val="1C1D1E"/>
          <w:shd w:val="clear" w:color="auto" w:fill="FFFFFF"/>
        </w:rPr>
        <w:t xml:space="preserve"> opportunity to promote </w:t>
      </w:r>
      <w:r>
        <w:rPr>
          <w:rFonts w:cstheme="minorHAnsi"/>
          <w:color w:val="1C1D1E"/>
          <w:shd w:val="clear" w:color="auto" w:fill="FFFFFF"/>
        </w:rPr>
        <w:t xml:space="preserve">health </w:t>
      </w:r>
      <w:r w:rsidRPr="00016BB1">
        <w:rPr>
          <w:rFonts w:cstheme="minorHAnsi"/>
          <w:color w:val="1C1D1E"/>
          <w:shd w:val="clear" w:color="auto" w:fill="FFFFFF"/>
        </w:rPr>
        <w:t xml:space="preserve">and </w:t>
      </w:r>
      <w:r>
        <w:rPr>
          <w:rFonts w:cstheme="minorHAnsi"/>
          <w:color w:val="1C1D1E"/>
          <w:shd w:val="clear" w:color="auto" w:fill="FFFFFF"/>
        </w:rPr>
        <w:t>improve the wellbeing of their local communities</w:t>
      </w:r>
      <w:r w:rsidRPr="00016BB1">
        <w:rPr>
          <w:rFonts w:cstheme="minorHAnsi"/>
          <w:color w:val="1C1D1E"/>
          <w:shd w:val="clear" w:color="auto" w:fill="FFFFFF"/>
        </w:rPr>
        <w:t xml:space="preserve">. </w:t>
      </w:r>
      <w:r w:rsidR="00F67C09">
        <w:rPr>
          <w:rFonts w:cstheme="minorHAnsi"/>
          <w:color w:val="1C1D1E"/>
          <w:shd w:val="clear" w:color="auto" w:fill="FFFFFF"/>
        </w:rPr>
        <w:t>T</w:t>
      </w:r>
      <w:r>
        <w:rPr>
          <w:rFonts w:cstheme="minorHAnsi"/>
          <w:color w:val="1C1D1E"/>
          <w:shd w:val="clear" w:color="auto" w:fill="FFFFFF"/>
        </w:rPr>
        <w:t>he alcohol industry spends millions of dollars annually on advertising and marketing its products. Children and young people are particularly vulnerable to these messages as they are surrounded by alcoholic products on social media, TV and through the s</w:t>
      </w:r>
      <w:r w:rsidRPr="00016BB1">
        <w:rPr>
          <w:rFonts w:cstheme="minorHAnsi"/>
          <w:color w:val="1C1D1E"/>
          <w:shd w:val="clear" w:color="auto" w:fill="FFFFFF"/>
        </w:rPr>
        <w:t>ponsorship of</w:t>
      </w:r>
      <w:r>
        <w:rPr>
          <w:rFonts w:cstheme="minorHAnsi"/>
          <w:color w:val="1C1D1E"/>
          <w:shd w:val="clear" w:color="auto" w:fill="FFFFFF"/>
        </w:rPr>
        <w:t xml:space="preserve"> their local</w:t>
      </w:r>
      <w:r w:rsidRPr="00016BB1">
        <w:rPr>
          <w:rFonts w:cstheme="minorHAnsi"/>
          <w:color w:val="1C1D1E"/>
          <w:shd w:val="clear" w:color="auto" w:fill="FFFFFF"/>
        </w:rPr>
        <w:t xml:space="preserve"> sporting clubs</w:t>
      </w:r>
      <w:r>
        <w:rPr>
          <w:rFonts w:cstheme="minorHAnsi"/>
          <w:color w:val="1C1D1E"/>
          <w:shd w:val="clear" w:color="auto" w:fill="FFFFFF"/>
        </w:rPr>
        <w:t xml:space="preserve">. </w:t>
      </w:r>
    </w:p>
    <w:p w14:paraId="2E8CA449" w14:textId="0F2C8840" w:rsidR="004B5EFA" w:rsidRPr="00AC478A" w:rsidRDefault="004F567C" w:rsidP="009E0F96">
      <w:pPr>
        <w:pStyle w:val="NoSpacing"/>
        <w:rPr>
          <w:rFonts w:cstheme="minorHAnsi"/>
          <w:color w:val="1C1D1E"/>
          <w:sz w:val="22"/>
          <w:szCs w:val="22"/>
          <w:shd w:val="clear" w:color="auto" w:fill="FFFFFF"/>
          <w:vertAlign w:val="superscript"/>
        </w:rPr>
      </w:pPr>
      <w:r w:rsidRPr="004B5EFA">
        <w:rPr>
          <w:sz w:val="22"/>
          <w:szCs w:val="22"/>
        </w:rPr>
        <w:t xml:space="preserve">Sports sponsorship is one of many ways that </w:t>
      </w:r>
      <w:r w:rsidRPr="00904E96">
        <w:rPr>
          <w:sz w:val="22"/>
          <w:szCs w:val="22"/>
        </w:rPr>
        <w:t>the alcohol industry promotes their products to influence purchasing decisions and drive sales</w:t>
      </w:r>
      <w:r w:rsidR="009E0F96" w:rsidRPr="00904E96">
        <w:rPr>
          <w:sz w:val="22"/>
          <w:szCs w:val="22"/>
        </w:rPr>
        <w:t>. R</w:t>
      </w:r>
      <w:r w:rsidRPr="00904E96">
        <w:rPr>
          <w:sz w:val="22"/>
          <w:szCs w:val="22"/>
        </w:rPr>
        <w:t xml:space="preserve">esearch has shown that the marketing of these products influences the way we consume </w:t>
      </w:r>
      <w:r w:rsidR="009E0F96" w:rsidRPr="00904E96">
        <w:rPr>
          <w:sz w:val="22"/>
          <w:szCs w:val="22"/>
        </w:rPr>
        <w:t>them</w:t>
      </w:r>
      <w:r w:rsidRPr="00904E96">
        <w:rPr>
          <w:sz w:val="22"/>
          <w:szCs w:val="22"/>
        </w:rPr>
        <w:t xml:space="preserve"> and makes these </w:t>
      </w:r>
      <w:r w:rsidRPr="00904E96">
        <w:rPr>
          <w:rFonts w:ascii="Calibri" w:eastAsia="Calibri" w:hAnsi="Calibri" w:cs="Calibri"/>
          <w:sz w:val="22"/>
          <w:szCs w:val="22"/>
        </w:rPr>
        <w:t>brands and products much more recognisable across the community</w:t>
      </w:r>
      <w:r w:rsidRPr="00904E96">
        <w:rPr>
          <w:sz w:val="22"/>
          <w:szCs w:val="22"/>
        </w:rPr>
        <w:t xml:space="preserve">. </w:t>
      </w:r>
      <w:r w:rsidR="00466365" w:rsidRPr="008F2917">
        <w:rPr>
          <w:rFonts w:cstheme="minorHAnsi"/>
          <w:color w:val="1C1D1E"/>
          <w:sz w:val="22"/>
          <w:szCs w:val="22"/>
          <w:shd w:val="clear" w:color="auto" w:fill="FFFFFF"/>
        </w:rPr>
        <w:t>A study of 10 to 12‐year‐olds found there was a high awareness of alcohol products and brands advertised during a sporting broadcast, and that children were aware of celebrity endorsement of products and associated them with a preference for these product</w:t>
      </w:r>
      <w:r w:rsidR="00AC478A">
        <w:rPr>
          <w:rFonts w:cstheme="minorHAnsi"/>
          <w:color w:val="1C1D1E"/>
          <w:sz w:val="22"/>
          <w:szCs w:val="22"/>
          <w:shd w:val="clear" w:color="auto" w:fill="FFFFFF"/>
        </w:rPr>
        <w:t>s.</w:t>
      </w:r>
      <w:r w:rsidR="00AC478A">
        <w:rPr>
          <w:rFonts w:cstheme="minorHAnsi"/>
          <w:color w:val="1C1D1E"/>
          <w:sz w:val="22"/>
          <w:szCs w:val="22"/>
          <w:shd w:val="clear" w:color="auto" w:fill="FFFFFF"/>
          <w:vertAlign w:val="superscript"/>
        </w:rPr>
        <w:t>45</w:t>
      </w:r>
    </w:p>
    <w:p w14:paraId="3356797B" w14:textId="77777777" w:rsidR="004B5EFA" w:rsidRDefault="004B5EFA" w:rsidP="009E0F96">
      <w:pPr>
        <w:pStyle w:val="NoSpacing"/>
        <w:rPr>
          <w:rFonts w:cstheme="minorHAnsi"/>
          <w:color w:val="1C1D1E"/>
          <w:sz w:val="22"/>
          <w:szCs w:val="22"/>
          <w:shd w:val="clear" w:color="auto" w:fill="FFFFFF"/>
        </w:rPr>
      </w:pPr>
    </w:p>
    <w:p w14:paraId="7296D356" w14:textId="64507877" w:rsidR="0055317D" w:rsidRPr="00AC478A" w:rsidRDefault="008F0512" w:rsidP="008F2917">
      <w:pPr>
        <w:pStyle w:val="NoSpacing"/>
        <w:rPr>
          <w:vertAlign w:val="superscript"/>
        </w:rPr>
      </w:pPr>
      <w:r w:rsidRPr="008F2917">
        <w:rPr>
          <w:rFonts w:cstheme="minorHAnsi"/>
          <w:color w:val="1C1D1E"/>
          <w:sz w:val="22"/>
          <w:szCs w:val="22"/>
          <w:shd w:val="clear" w:color="auto" w:fill="FFFFFF"/>
        </w:rPr>
        <w:t>Long‐term studies have shown that 12‐year‐olds who are highly exposed to alcohol advertising are 50% more likely to start drinking when they are 13, compared to those who are only slightly exposed</w:t>
      </w:r>
      <w:r w:rsidR="00AC478A">
        <w:rPr>
          <w:rFonts w:cstheme="minorHAnsi"/>
          <w:color w:val="1C1D1E"/>
          <w:sz w:val="22"/>
          <w:szCs w:val="22"/>
          <w:shd w:val="clear" w:color="auto" w:fill="FFFFFF"/>
        </w:rPr>
        <w:t>.</w:t>
      </w:r>
      <w:r w:rsidR="00AC478A">
        <w:rPr>
          <w:rFonts w:cstheme="minorHAnsi"/>
          <w:color w:val="1C1D1E"/>
          <w:sz w:val="22"/>
          <w:szCs w:val="22"/>
          <w:shd w:val="clear" w:color="auto" w:fill="FFFFFF"/>
          <w:vertAlign w:val="superscript"/>
        </w:rPr>
        <w:t>46</w:t>
      </w:r>
      <w:r w:rsidRPr="008F2917">
        <w:rPr>
          <w:rFonts w:cstheme="minorHAnsi"/>
          <w:color w:val="1C1D1E"/>
          <w:sz w:val="22"/>
          <w:szCs w:val="22"/>
          <w:shd w:val="clear" w:color="auto" w:fill="FFFFFF"/>
        </w:rPr>
        <w:t xml:space="preserve"> Studies consistently demonstrate that exposure to alcohol advertising has a direct correlation with the likelihood that adolescents will start to drink alcohol and, if they already drink alcohol, their drinking will increase with such exposure</w:t>
      </w:r>
      <w:r w:rsidR="00AC478A">
        <w:rPr>
          <w:rFonts w:cstheme="minorHAnsi"/>
          <w:color w:val="1C1D1E"/>
          <w:sz w:val="22"/>
          <w:szCs w:val="22"/>
          <w:shd w:val="clear" w:color="auto" w:fill="FFFFFF"/>
        </w:rPr>
        <w:t>.</w:t>
      </w:r>
      <w:r w:rsidR="00AC478A">
        <w:rPr>
          <w:rFonts w:cstheme="minorHAnsi"/>
          <w:color w:val="1C1D1E"/>
          <w:sz w:val="22"/>
          <w:szCs w:val="22"/>
          <w:shd w:val="clear" w:color="auto" w:fill="FFFFFF"/>
          <w:vertAlign w:val="superscript"/>
        </w:rPr>
        <w:t>47</w:t>
      </w:r>
    </w:p>
    <w:p w14:paraId="1295DFAB" w14:textId="77777777" w:rsidR="00A21729" w:rsidRDefault="00A21729" w:rsidP="00A21729">
      <w:pPr>
        <w:spacing w:after="0"/>
        <w:rPr>
          <w:rFonts w:cstheme="minorHAnsi"/>
          <w:color w:val="1C1D1E"/>
          <w:shd w:val="clear" w:color="auto" w:fill="FFFFFF"/>
        </w:rPr>
      </w:pPr>
    </w:p>
    <w:p w14:paraId="758DB3A6" w14:textId="20A5C57C" w:rsidR="00466365" w:rsidRPr="008F2917" w:rsidRDefault="0055317D" w:rsidP="00466365">
      <w:pPr>
        <w:rPr>
          <w:rFonts w:cstheme="minorHAnsi"/>
          <w:color w:val="1C1D1E"/>
          <w:shd w:val="clear" w:color="auto" w:fill="FFFFFF"/>
        </w:rPr>
      </w:pPr>
      <w:r w:rsidRPr="00904E96">
        <w:rPr>
          <w:rFonts w:cstheme="minorHAnsi"/>
          <w:color w:val="1C1D1E"/>
          <w:shd w:val="clear" w:color="auto" w:fill="FFFFFF"/>
        </w:rPr>
        <w:t xml:space="preserve">We need to protect young people and kids from alcohol industry marketing. </w:t>
      </w:r>
      <w:r w:rsidR="009B5395">
        <w:t>Therefore,</w:t>
      </w:r>
      <w:r w:rsidR="00351AB1" w:rsidRPr="004B5EFA">
        <w:t xml:space="preserve"> this policy is designed to support high standards for how alcohol produ</w:t>
      </w:r>
      <w:r w:rsidR="00351AB1" w:rsidRPr="00904E96">
        <w:t>cts are promoted an</w:t>
      </w:r>
      <w:r w:rsidR="003A0445" w:rsidRPr="00904E96">
        <w:t>d</w:t>
      </w:r>
      <w:r w:rsidR="00351AB1" w:rsidRPr="00904E96">
        <w:t xml:space="preserve"> sold in</w:t>
      </w:r>
      <w:r w:rsidR="003A0445" w:rsidRPr="00904E96">
        <w:t xml:space="preserve"> council owned facilities such as</w:t>
      </w:r>
      <w:r w:rsidR="00351AB1" w:rsidRPr="00904E96">
        <w:t xml:space="preserve"> sporting and community clubs.</w:t>
      </w:r>
    </w:p>
    <w:p w14:paraId="0E0ED7CE" w14:textId="77777777" w:rsidR="00016BB1" w:rsidRPr="00016BB1" w:rsidRDefault="00016BB1" w:rsidP="00C4362B">
      <w:pPr>
        <w:pStyle w:val="Heading3"/>
      </w:pPr>
      <w:r w:rsidRPr="00016BB1">
        <w:t xml:space="preserve">Policy </w:t>
      </w:r>
      <w:r w:rsidR="00CB3FA2">
        <w:t>Application</w:t>
      </w:r>
    </w:p>
    <w:p w14:paraId="54077C4B" w14:textId="184C9266" w:rsidR="006C5932" w:rsidRDefault="006C5932" w:rsidP="006C5932">
      <w:r>
        <w:t>When a Council owned facility is leased or hired the applicant must:</w:t>
      </w:r>
    </w:p>
    <w:p w14:paraId="3E383CF0" w14:textId="485503D7" w:rsidR="006C5932" w:rsidRDefault="00481D61" w:rsidP="006C5932">
      <w:pPr>
        <w:pStyle w:val="ListParagraph"/>
        <w:numPr>
          <w:ilvl w:val="0"/>
          <w:numId w:val="2"/>
        </w:numPr>
      </w:pPr>
      <w:r>
        <w:t>p</w:t>
      </w:r>
      <w:r w:rsidR="00016BB1">
        <w:t>rohibit</w:t>
      </w:r>
      <w:r w:rsidR="006C5932">
        <w:t xml:space="preserve"> all alcohol sponsors and advertisers, whether these be on kits, on gr</w:t>
      </w:r>
      <w:r w:rsidR="00016BB1">
        <w:t>ound, on equipment or electronic</w:t>
      </w:r>
    </w:p>
    <w:p w14:paraId="0E86880D" w14:textId="303FA5B9" w:rsidR="00016BB1" w:rsidRDefault="00481D61" w:rsidP="006C5932">
      <w:pPr>
        <w:pStyle w:val="ListParagraph"/>
        <w:numPr>
          <w:ilvl w:val="0"/>
          <w:numId w:val="2"/>
        </w:numPr>
      </w:pPr>
      <w:r>
        <w:t>p</w:t>
      </w:r>
      <w:r w:rsidR="00016BB1">
        <w:t xml:space="preserve">rohibit all alcohol signage and promotional materials which are in plain view to the general public including signs that are visible externally from buildings or outside designated licensed premises or licensed areas within a </w:t>
      </w:r>
      <w:r w:rsidR="00E27190">
        <w:t>premise</w:t>
      </w:r>
    </w:p>
    <w:p w14:paraId="04C62D99" w14:textId="0256C120" w:rsidR="0000329F" w:rsidRPr="0000329F" w:rsidRDefault="0000329F" w:rsidP="0000329F">
      <w:pPr>
        <w:tabs>
          <w:tab w:val="left" w:pos="2448"/>
          <w:tab w:val="left" w:pos="8232"/>
        </w:tabs>
      </w:pPr>
      <w:r>
        <w:tab/>
      </w:r>
      <w:r>
        <w:tab/>
      </w:r>
    </w:p>
    <w:p w14:paraId="5A1E0B6D" w14:textId="16FBDB30" w:rsidR="00FE37FF" w:rsidRDefault="00481D61" w:rsidP="00660F0C">
      <w:pPr>
        <w:pStyle w:val="ListParagraph"/>
        <w:numPr>
          <w:ilvl w:val="0"/>
          <w:numId w:val="2"/>
        </w:numPr>
      </w:pPr>
      <w:r>
        <w:lastRenderedPageBreak/>
        <w:t>w</w:t>
      </w:r>
      <w:r w:rsidR="00016BB1">
        <w:t xml:space="preserve">here alcohol is to be available, served, </w:t>
      </w:r>
      <w:proofErr w:type="gramStart"/>
      <w:r w:rsidR="00016BB1">
        <w:t>sold</w:t>
      </w:r>
      <w:proofErr w:type="gramEnd"/>
      <w:r w:rsidR="00016BB1">
        <w:t xml:space="preserve"> or supplied, </w:t>
      </w:r>
      <w:r w:rsidR="00FE37FF">
        <w:t xml:space="preserve">provide </w:t>
      </w:r>
      <w:r w:rsidR="00016BB1">
        <w:t>a full range of non-alcoholic</w:t>
      </w:r>
      <w:r w:rsidR="00660F0C">
        <w:t xml:space="preserve"> alternatives </w:t>
      </w:r>
      <w:r w:rsidR="00FE37FF">
        <w:t xml:space="preserve">and low strength alcohol options. </w:t>
      </w:r>
      <w:r w:rsidR="00660F0C">
        <w:t xml:space="preserve"> </w:t>
      </w:r>
      <w:r w:rsidR="00FE37FF" w:rsidRPr="00C97A8E">
        <w:t>F</w:t>
      </w:r>
      <w:r w:rsidR="00016BB1" w:rsidRPr="00C97A8E">
        <w:t>ree water</w:t>
      </w:r>
      <w:r w:rsidR="00016BB1" w:rsidRPr="00FE37FF">
        <w:rPr>
          <w:color w:val="FF0000"/>
        </w:rPr>
        <w:t xml:space="preserve"> </w:t>
      </w:r>
      <w:r w:rsidR="00FE37FF">
        <w:t xml:space="preserve">is to </w:t>
      </w:r>
      <w:r w:rsidR="00016BB1">
        <w:t>be available at licensed premises at all</w:t>
      </w:r>
      <w:r w:rsidR="00FE37FF">
        <w:t xml:space="preserve"> times</w:t>
      </w:r>
      <w:r w:rsidR="000C53F8">
        <w:t xml:space="preserve"> </w:t>
      </w:r>
    </w:p>
    <w:p w14:paraId="1AE03E32" w14:textId="570C894B" w:rsidR="00CC642C" w:rsidRDefault="00481D61" w:rsidP="00CC642C">
      <w:pPr>
        <w:pStyle w:val="ListParagraph"/>
        <w:numPr>
          <w:ilvl w:val="0"/>
          <w:numId w:val="2"/>
        </w:numPr>
      </w:pPr>
      <w:r>
        <w:t>e</w:t>
      </w:r>
      <w:r w:rsidR="00CC642C">
        <w:t xml:space="preserve">nsure that where there is alcohol product branding it is </w:t>
      </w:r>
      <w:r w:rsidR="00BC0724">
        <w:t>limited</w:t>
      </w:r>
      <w:r w:rsidR="00CC642C">
        <w:t xml:space="preserve"> to the point of sale</w:t>
      </w:r>
    </w:p>
    <w:p w14:paraId="4DA930FC" w14:textId="4A025891" w:rsidR="00FE37FF" w:rsidRDefault="00481D61" w:rsidP="00FE37FF">
      <w:pPr>
        <w:pStyle w:val="ListParagraph"/>
        <w:numPr>
          <w:ilvl w:val="0"/>
          <w:numId w:val="2"/>
        </w:numPr>
      </w:pPr>
      <w:r>
        <w:t>e</w:t>
      </w:r>
      <w:r w:rsidR="00FE37FF" w:rsidRPr="00FE37FF">
        <w:t xml:space="preserve">nsure alcoholic </w:t>
      </w:r>
      <w:r w:rsidR="002725EE">
        <w:t>products</w:t>
      </w:r>
      <w:r w:rsidR="002725EE" w:rsidRPr="00FE37FF">
        <w:t xml:space="preserve"> </w:t>
      </w:r>
      <w:r w:rsidR="00FE37FF" w:rsidRPr="00FE37FF">
        <w:t>are served in</w:t>
      </w:r>
      <w:r w:rsidR="00FE37FF">
        <w:t xml:space="preserve"> standard-sized drink portions</w:t>
      </w:r>
    </w:p>
    <w:p w14:paraId="6EC90BF6" w14:textId="1FA2F79F" w:rsidR="00FE37FF" w:rsidRDefault="00481D61" w:rsidP="00FE37FF">
      <w:pPr>
        <w:pStyle w:val="ListParagraph"/>
        <w:numPr>
          <w:ilvl w:val="0"/>
          <w:numId w:val="2"/>
        </w:numPr>
      </w:pPr>
      <w:r>
        <w:t>e</w:t>
      </w:r>
      <w:r w:rsidR="00FE37FF">
        <w:t xml:space="preserve">nsure </w:t>
      </w:r>
      <w:r w:rsidR="00FE37FF" w:rsidRPr="00FE37FF">
        <w:t>promotions or event names that glamorise getting drunk or imply that getting drunk is desirable</w:t>
      </w:r>
      <w:r w:rsidR="00FE37FF">
        <w:t xml:space="preserve"> are not available onsite</w:t>
      </w:r>
      <w:r w:rsidR="00FE37FF" w:rsidRPr="00FE37FF">
        <w:t xml:space="preserve"> e.g. providing drinks or cocktails with names that imply they will get you drunk</w:t>
      </w:r>
    </w:p>
    <w:p w14:paraId="31DCC318" w14:textId="4FA111D4" w:rsidR="00660F0C" w:rsidRDefault="00481D61" w:rsidP="00660F0C">
      <w:pPr>
        <w:pStyle w:val="ListParagraph"/>
        <w:numPr>
          <w:ilvl w:val="0"/>
          <w:numId w:val="2"/>
        </w:numPr>
      </w:pPr>
      <w:r>
        <w:t>e</w:t>
      </w:r>
      <w:r w:rsidR="00660F0C">
        <w:t xml:space="preserve">nsure that the supply and availability of alcohol does not occur at or within the direct view of family and children.  This includes Council buildings such as community </w:t>
      </w:r>
      <w:proofErr w:type="spellStart"/>
      <w:r w:rsidR="00660F0C">
        <w:t>centres</w:t>
      </w:r>
      <w:proofErr w:type="spellEnd"/>
      <w:r w:rsidR="00660F0C">
        <w:t>, where</w:t>
      </w:r>
    </w:p>
    <w:p w14:paraId="7D354AC1" w14:textId="77777777" w:rsidR="00660F0C" w:rsidRDefault="00660F0C" w:rsidP="00660F0C">
      <w:pPr>
        <w:pStyle w:val="ListParagraph"/>
      </w:pPr>
      <w:r>
        <w:t>principal activities involve participation of families and children, or other sensitive community land use activities.</w:t>
      </w:r>
    </w:p>
    <w:p w14:paraId="0081C28E" w14:textId="77777777" w:rsidR="006C5932" w:rsidRDefault="006C5932" w:rsidP="006C5932">
      <w:r>
        <w:t>The Council may request further information regarding sponsorship profile, sponsorship support, activation strategies or advertising as required.</w:t>
      </w:r>
    </w:p>
    <w:p w14:paraId="0D117F8E" w14:textId="2B8C226A" w:rsidR="006C5932" w:rsidRDefault="006C5932" w:rsidP="006C5932">
      <w:r>
        <w:t xml:space="preserve">Throughout the contract, the ABC Council agreement requires </w:t>
      </w:r>
      <w:r w:rsidR="00016BB1">
        <w:t xml:space="preserve">the </w:t>
      </w:r>
      <w:r w:rsidR="00C97A8E">
        <w:t>applicant</w:t>
      </w:r>
      <w:r w:rsidR="00016BB1">
        <w:t xml:space="preserve"> to </w:t>
      </w:r>
      <w:r>
        <w:t xml:space="preserve">seek approval from </w:t>
      </w:r>
      <w:r w:rsidR="00016BB1">
        <w:t xml:space="preserve">the Council </w:t>
      </w:r>
      <w:r>
        <w:t xml:space="preserve">prior to entering into any new arrangements with </w:t>
      </w:r>
      <w:r w:rsidR="00016BB1">
        <w:t xml:space="preserve">alcohol companies or brands. </w:t>
      </w:r>
    </w:p>
    <w:p w14:paraId="73572661" w14:textId="77777777" w:rsidR="00FE37FF" w:rsidRDefault="00FE37FF" w:rsidP="00FE37FF">
      <w:r>
        <w:t>The following minimum requirements must be incorporated into an organisational health policy to be implemented by all sponsored organisations as a condition of sponsorship:</w:t>
      </w:r>
    </w:p>
    <w:p w14:paraId="37772274" w14:textId="1BC35349" w:rsidR="005F12D3" w:rsidRDefault="00FE37FF" w:rsidP="005F12D3">
      <w:pPr>
        <w:ind w:left="720" w:hanging="720"/>
      </w:pPr>
      <w:r>
        <w:t>•</w:t>
      </w:r>
      <w:r>
        <w:tab/>
      </w:r>
      <w:r w:rsidR="00481D61">
        <w:t>l</w:t>
      </w:r>
      <w:r>
        <w:t>ow</w:t>
      </w:r>
      <w:r w:rsidR="003130C2">
        <w:t>-</w:t>
      </w:r>
      <w:r>
        <w:t>strength alcohol and non-alcoholic</w:t>
      </w:r>
      <w:r w:rsidR="000A3D99">
        <w:t xml:space="preserve"> </w:t>
      </w:r>
      <w:r w:rsidR="00F55137">
        <w:t>products</w:t>
      </w:r>
      <w:r>
        <w:t xml:space="preserve"> must be available should alcohol </w:t>
      </w:r>
      <w:r w:rsidR="008E39B9">
        <w:t xml:space="preserve">products </w:t>
      </w:r>
      <w:r>
        <w:t>be available at activities or events</w:t>
      </w:r>
      <w:r w:rsidR="005F12D3">
        <w:t>, with f</w:t>
      </w:r>
      <w:r w:rsidR="005F12D3" w:rsidRPr="00C97A8E">
        <w:t>ree water</w:t>
      </w:r>
      <w:r w:rsidR="005F12D3">
        <w:t xml:space="preserve"> available at all times</w:t>
      </w:r>
    </w:p>
    <w:p w14:paraId="469E1D90" w14:textId="315ED4B5" w:rsidR="00FE37FF" w:rsidRDefault="00FE37FF" w:rsidP="00FE37FF">
      <w:pPr>
        <w:ind w:left="720" w:hanging="720"/>
      </w:pPr>
      <w:r>
        <w:t>•</w:t>
      </w:r>
      <w:r>
        <w:tab/>
      </w:r>
      <w:r w:rsidR="00481D61">
        <w:t>n</w:t>
      </w:r>
      <w:r>
        <w:t xml:space="preserve">o activities or promotions that encourage rapid consumption of alcohol </w:t>
      </w:r>
      <w:r w:rsidR="008E39B9">
        <w:t xml:space="preserve">products </w:t>
      </w:r>
      <w:r>
        <w:t xml:space="preserve">(e.g. discounted drink prices, happy hours, drinking competitions), should alcohol </w:t>
      </w:r>
      <w:r w:rsidR="008E39B9">
        <w:t xml:space="preserve">products </w:t>
      </w:r>
      <w:r>
        <w:t>be available at activities or events.</w:t>
      </w:r>
    </w:p>
    <w:p w14:paraId="3AE0E685" w14:textId="77777777" w:rsidR="00FE37FF" w:rsidRPr="006C5932" w:rsidRDefault="00FE37FF" w:rsidP="006C5932"/>
    <w:sectPr w:rsidR="00FE37FF" w:rsidRPr="006C5932" w:rsidSect="00D1756C">
      <w:footerReference w:type="default" r:id="rId11"/>
      <w:pgSz w:w="11906" w:h="16838"/>
      <w:pgMar w:top="1440" w:right="1440" w:bottom="1440" w:left="1440" w:header="709"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86EC" w14:textId="77777777" w:rsidR="006D0C0E" w:rsidRDefault="006D0C0E" w:rsidP="00AB79CF">
      <w:pPr>
        <w:spacing w:after="0" w:line="240" w:lineRule="auto"/>
      </w:pPr>
      <w:r>
        <w:separator/>
      </w:r>
    </w:p>
  </w:endnote>
  <w:endnote w:type="continuationSeparator" w:id="0">
    <w:p w14:paraId="5D8F8453" w14:textId="77777777" w:rsidR="006D0C0E" w:rsidRDefault="006D0C0E" w:rsidP="00AB79CF">
      <w:pPr>
        <w:spacing w:after="0" w:line="240" w:lineRule="auto"/>
      </w:pPr>
      <w:r>
        <w:continuationSeparator/>
      </w:r>
    </w:p>
  </w:endnote>
  <w:endnote w:type="continuationNotice" w:id="1">
    <w:p w14:paraId="1EECF650" w14:textId="77777777" w:rsidR="006D0C0E" w:rsidRDefault="006D0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0253" w14:textId="6693AB40" w:rsidR="0000329F" w:rsidRDefault="0000329F" w:rsidP="0000329F">
    <w:pPr>
      <w:pStyle w:val="Footer"/>
      <w:jc w:val="center"/>
    </w:pPr>
    <w:r w:rsidRPr="0000329F">
      <w:rPr>
        <w:rFonts w:cstheme="minorHAnsi"/>
        <w:bCs/>
        <w:i/>
        <w:iCs/>
        <w:sz w:val="20"/>
      </w:rPr>
      <w:tab/>
    </w:r>
    <w:r w:rsidRPr="000C7DBC">
      <w:rPr>
        <w:rFonts w:cstheme="minorHAnsi"/>
        <w:bCs/>
        <w:i/>
        <w:iCs/>
        <w:sz w:val="20"/>
      </w:rPr>
      <w:t xml:space="preserve">This tool was developed with the support, </w:t>
    </w:r>
    <w:proofErr w:type="gramStart"/>
    <w:r w:rsidRPr="000C7DBC">
      <w:rPr>
        <w:rFonts w:cstheme="minorHAnsi"/>
        <w:bCs/>
        <w:i/>
        <w:iCs/>
        <w:sz w:val="20"/>
      </w:rPr>
      <w:t>expertise</w:t>
    </w:r>
    <w:proofErr w:type="gramEnd"/>
    <w:r w:rsidRPr="000C7DBC">
      <w:rPr>
        <w:rFonts w:cstheme="minorHAnsi"/>
        <w:bCs/>
        <w:i/>
        <w:iCs/>
        <w:sz w:val="20"/>
      </w:rPr>
      <w:t xml:space="preserve"> and guidance of Dr Melissa Stoneham.</w:t>
    </w:r>
    <w:r>
      <w:rPr>
        <w:rFonts w:cstheme="minorHAnsi"/>
        <w:bCs/>
        <w:i/>
        <w:iCs/>
        <w:sz w:val="20"/>
      </w:rPr>
      <w:tab/>
    </w:r>
    <w:sdt>
      <w:sdtPr>
        <w:id w:val="-6968505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8E6977" w14:textId="4A1DAAD7" w:rsidR="00AB79CF" w:rsidRDefault="00D1756C" w:rsidP="00E27190">
    <w:pPr>
      <w:pStyle w:val="Footer"/>
      <w:jc w:val="right"/>
    </w:pPr>
    <w:r>
      <w:rPr>
        <w:noProof/>
      </w:rPr>
      <w:drawing>
        <wp:anchor distT="0" distB="0" distL="114300" distR="114300" simplePos="0" relativeHeight="251658240" behindDoc="0" locked="0" layoutInCell="1" allowOverlap="1" wp14:anchorId="43D77AE6" wp14:editId="39AAE938">
          <wp:simplePos x="0" y="0"/>
          <wp:positionH relativeFrom="column">
            <wp:posOffset>2044700</wp:posOffset>
          </wp:positionH>
          <wp:positionV relativeFrom="paragraph">
            <wp:posOffset>45720</wp:posOffset>
          </wp:positionV>
          <wp:extent cx="3407410" cy="586105"/>
          <wp:effectExtent l="0" t="0" r="2540" b="4445"/>
          <wp:wrapThrough wrapText="bothSides">
            <wp:wrapPolygon edited="0">
              <wp:start x="0" y="0"/>
              <wp:lineTo x="0" y="21062"/>
              <wp:lineTo x="21495" y="21062"/>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07410" cy="5861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F993" w14:textId="77777777" w:rsidR="006D0C0E" w:rsidRDefault="006D0C0E" w:rsidP="00AB79CF">
      <w:pPr>
        <w:spacing w:after="0" w:line="240" w:lineRule="auto"/>
      </w:pPr>
      <w:r>
        <w:separator/>
      </w:r>
    </w:p>
  </w:footnote>
  <w:footnote w:type="continuationSeparator" w:id="0">
    <w:p w14:paraId="6C69AE0D" w14:textId="77777777" w:rsidR="006D0C0E" w:rsidRDefault="006D0C0E" w:rsidP="00AB79CF">
      <w:pPr>
        <w:spacing w:after="0" w:line="240" w:lineRule="auto"/>
      </w:pPr>
      <w:r>
        <w:continuationSeparator/>
      </w:r>
    </w:p>
  </w:footnote>
  <w:footnote w:type="continuationNotice" w:id="1">
    <w:p w14:paraId="1E58B981" w14:textId="77777777" w:rsidR="006D0C0E" w:rsidRDefault="006D0C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2A8"/>
    <w:multiLevelType w:val="hybridMultilevel"/>
    <w:tmpl w:val="106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13726"/>
    <w:multiLevelType w:val="hybridMultilevel"/>
    <w:tmpl w:val="D07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32"/>
    <w:rsid w:val="0000329F"/>
    <w:rsid w:val="00010063"/>
    <w:rsid w:val="00016BB1"/>
    <w:rsid w:val="000355E0"/>
    <w:rsid w:val="00041E3D"/>
    <w:rsid w:val="00076814"/>
    <w:rsid w:val="0009175C"/>
    <w:rsid w:val="00096392"/>
    <w:rsid w:val="000A1B33"/>
    <w:rsid w:val="000A3D99"/>
    <w:rsid w:val="000C29A0"/>
    <w:rsid w:val="000C4706"/>
    <w:rsid w:val="000C53F8"/>
    <w:rsid w:val="000C7DBC"/>
    <w:rsid w:val="000F14B7"/>
    <w:rsid w:val="00100E64"/>
    <w:rsid w:val="00102545"/>
    <w:rsid w:val="0010516D"/>
    <w:rsid w:val="0011772B"/>
    <w:rsid w:val="00181E13"/>
    <w:rsid w:val="00196A06"/>
    <w:rsid w:val="001B6771"/>
    <w:rsid w:val="00201622"/>
    <w:rsid w:val="00254ABE"/>
    <w:rsid w:val="002569E7"/>
    <w:rsid w:val="002666F8"/>
    <w:rsid w:val="002725EE"/>
    <w:rsid w:val="00286A00"/>
    <w:rsid w:val="002A4562"/>
    <w:rsid w:val="002B4A2E"/>
    <w:rsid w:val="002B5578"/>
    <w:rsid w:val="002C27C9"/>
    <w:rsid w:val="002C512E"/>
    <w:rsid w:val="002F7246"/>
    <w:rsid w:val="003130C2"/>
    <w:rsid w:val="00351AB1"/>
    <w:rsid w:val="003A0445"/>
    <w:rsid w:val="003E2203"/>
    <w:rsid w:val="00410E84"/>
    <w:rsid w:val="00466365"/>
    <w:rsid w:val="0047606D"/>
    <w:rsid w:val="00481D61"/>
    <w:rsid w:val="004A1683"/>
    <w:rsid w:val="004B5EFA"/>
    <w:rsid w:val="004D4037"/>
    <w:rsid w:val="004D7962"/>
    <w:rsid w:val="004E2EC9"/>
    <w:rsid w:val="004F15A1"/>
    <w:rsid w:val="004F567C"/>
    <w:rsid w:val="004F68C6"/>
    <w:rsid w:val="0055317D"/>
    <w:rsid w:val="00560B2A"/>
    <w:rsid w:val="005C3419"/>
    <w:rsid w:val="005D698B"/>
    <w:rsid w:val="005F12D3"/>
    <w:rsid w:val="006026B9"/>
    <w:rsid w:val="0061342F"/>
    <w:rsid w:val="00634ADE"/>
    <w:rsid w:val="00660F0C"/>
    <w:rsid w:val="006715E7"/>
    <w:rsid w:val="00675701"/>
    <w:rsid w:val="00682EDE"/>
    <w:rsid w:val="006C5932"/>
    <w:rsid w:val="006D0C0E"/>
    <w:rsid w:val="006E5B51"/>
    <w:rsid w:val="006E65A4"/>
    <w:rsid w:val="00703181"/>
    <w:rsid w:val="007034E0"/>
    <w:rsid w:val="00711700"/>
    <w:rsid w:val="00734AB5"/>
    <w:rsid w:val="00784FF7"/>
    <w:rsid w:val="00787D11"/>
    <w:rsid w:val="007D62D4"/>
    <w:rsid w:val="007E0518"/>
    <w:rsid w:val="0083588A"/>
    <w:rsid w:val="008637A3"/>
    <w:rsid w:val="00866529"/>
    <w:rsid w:val="008B6CB7"/>
    <w:rsid w:val="008E39B9"/>
    <w:rsid w:val="008F0512"/>
    <w:rsid w:val="008F2917"/>
    <w:rsid w:val="008F7652"/>
    <w:rsid w:val="00904E96"/>
    <w:rsid w:val="00945B7D"/>
    <w:rsid w:val="00952502"/>
    <w:rsid w:val="00984A62"/>
    <w:rsid w:val="00987D18"/>
    <w:rsid w:val="00996129"/>
    <w:rsid w:val="009A264C"/>
    <w:rsid w:val="009B517A"/>
    <w:rsid w:val="009B5395"/>
    <w:rsid w:val="009E0F96"/>
    <w:rsid w:val="009E1182"/>
    <w:rsid w:val="009E5B56"/>
    <w:rsid w:val="009F5673"/>
    <w:rsid w:val="00A17165"/>
    <w:rsid w:val="00A21729"/>
    <w:rsid w:val="00A860F4"/>
    <w:rsid w:val="00A911DF"/>
    <w:rsid w:val="00AA4648"/>
    <w:rsid w:val="00AA574D"/>
    <w:rsid w:val="00AB3EC5"/>
    <w:rsid w:val="00AB79CF"/>
    <w:rsid w:val="00AC0A81"/>
    <w:rsid w:val="00AC478A"/>
    <w:rsid w:val="00AF40EB"/>
    <w:rsid w:val="00B422B7"/>
    <w:rsid w:val="00B47C15"/>
    <w:rsid w:val="00B91FC6"/>
    <w:rsid w:val="00BC0724"/>
    <w:rsid w:val="00BD4319"/>
    <w:rsid w:val="00C034A5"/>
    <w:rsid w:val="00C23F91"/>
    <w:rsid w:val="00C4362B"/>
    <w:rsid w:val="00C619B8"/>
    <w:rsid w:val="00C631F5"/>
    <w:rsid w:val="00C74694"/>
    <w:rsid w:val="00C97A8E"/>
    <w:rsid w:val="00CB02F6"/>
    <w:rsid w:val="00CB3FA2"/>
    <w:rsid w:val="00CC642C"/>
    <w:rsid w:val="00D1756C"/>
    <w:rsid w:val="00D86E95"/>
    <w:rsid w:val="00DC113C"/>
    <w:rsid w:val="00DD0FB3"/>
    <w:rsid w:val="00DD1C95"/>
    <w:rsid w:val="00DD374D"/>
    <w:rsid w:val="00E05B23"/>
    <w:rsid w:val="00E100D1"/>
    <w:rsid w:val="00E158C7"/>
    <w:rsid w:val="00E27190"/>
    <w:rsid w:val="00E27C96"/>
    <w:rsid w:val="00E373D7"/>
    <w:rsid w:val="00E43A1E"/>
    <w:rsid w:val="00E8490B"/>
    <w:rsid w:val="00E91773"/>
    <w:rsid w:val="00E95C7F"/>
    <w:rsid w:val="00EA2968"/>
    <w:rsid w:val="00EB44B2"/>
    <w:rsid w:val="00ED2B9A"/>
    <w:rsid w:val="00ED2BA1"/>
    <w:rsid w:val="00F350C3"/>
    <w:rsid w:val="00F4423E"/>
    <w:rsid w:val="00F54802"/>
    <w:rsid w:val="00F55137"/>
    <w:rsid w:val="00F5564C"/>
    <w:rsid w:val="00F66966"/>
    <w:rsid w:val="00F67C09"/>
    <w:rsid w:val="00F70C13"/>
    <w:rsid w:val="00F778CF"/>
    <w:rsid w:val="00FC101B"/>
    <w:rsid w:val="00FC34F5"/>
    <w:rsid w:val="00FE0E99"/>
    <w:rsid w:val="00FE37FF"/>
    <w:rsid w:val="0B35A738"/>
    <w:rsid w:val="1E9E03D8"/>
    <w:rsid w:val="2071D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0AC5D"/>
  <w15:chartTrackingRefBased/>
  <w15:docId w15:val="{00C39B58-968A-48D4-8B25-CD2599F5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B2A"/>
    <w:pPr>
      <w:keepNext/>
      <w:keepLines/>
      <w:spacing w:before="240" w:after="0"/>
      <w:outlineLvl w:val="0"/>
    </w:pPr>
    <w:rPr>
      <w:rFonts w:asciiTheme="majorHAnsi" w:eastAsiaTheme="majorEastAsia" w:hAnsiTheme="majorHAnsi" w:cstheme="majorBidi"/>
      <w:b/>
      <w:bCs/>
      <w:color w:val="00AEE6"/>
      <w:sz w:val="32"/>
      <w:szCs w:val="32"/>
      <w:lang w:val="en-AU"/>
    </w:rPr>
  </w:style>
  <w:style w:type="paragraph" w:styleId="Heading2">
    <w:name w:val="heading 2"/>
    <w:basedOn w:val="Normal"/>
    <w:next w:val="Normal"/>
    <w:link w:val="Heading2Char"/>
    <w:uiPriority w:val="9"/>
    <w:unhideWhenUsed/>
    <w:qFormat/>
    <w:rsid w:val="00560B2A"/>
    <w:pPr>
      <w:keepNext/>
      <w:keepLines/>
      <w:spacing w:before="40" w:after="0"/>
      <w:outlineLvl w:val="1"/>
    </w:pPr>
    <w:rPr>
      <w:rFonts w:asciiTheme="majorHAnsi" w:eastAsiaTheme="majorEastAsia" w:hAnsiTheme="majorHAnsi" w:cstheme="majorBidi"/>
      <w:b/>
      <w:bCs/>
      <w:sz w:val="26"/>
      <w:szCs w:val="26"/>
      <w:lang w:val="en-AU"/>
    </w:rPr>
  </w:style>
  <w:style w:type="paragraph" w:styleId="Heading3">
    <w:name w:val="heading 3"/>
    <w:basedOn w:val="Normal"/>
    <w:next w:val="Normal"/>
    <w:link w:val="Heading3Char"/>
    <w:uiPriority w:val="9"/>
    <w:unhideWhenUsed/>
    <w:qFormat/>
    <w:rsid w:val="00F54802"/>
    <w:pPr>
      <w:outlineLvl w:val="2"/>
    </w:pPr>
    <w:rPr>
      <w:b/>
      <w:color w:val="2EB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32"/>
    <w:pPr>
      <w:ind w:left="720"/>
      <w:contextualSpacing/>
    </w:pPr>
  </w:style>
  <w:style w:type="character" w:customStyle="1" w:styleId="Heading1Char">
    <w:name w:val="Heading 1 Char"/>
    <w:basedOn w:val="DefaultParagraphFont"/>
    <w:link w:val="Heading1"/>
    <w:uiPriority w:val="9"/>
    <w:rsid w:val="00560B2A"/>
    <w:rPr>
      <w:rFonts w:asciiTheme="majorHAnsi" w:eastAsiaTheme="majorEastAsia" w:hAnsiTheme="majorHAnsi" w:cstheme="majorBidi"/>
      <w:b/>
      <w:bCs/>
      <w:color w:val="00AEE6"/>
      <w:sz w:val="32"/>
      <w:szCs w:val="32"/>
      <w:lang w:val="en-AU"/>
    </w:rPr>
  </w:style>
  <w:style w:type="character" w:styleId="Hyperlink">
    <w:name w:val="Hyperlink"/>
    <w:basedOn w:val="DefaultParagraphFont"/>
    <w:uiPriority w:val="99"/>
    <w:semiHidden/>
    <w:unhideWhenUsed/>
    <w:rsid w:val="00016BB1"/>
    <w:rPr>
      <w:color w:val="0000FF"/>
      <w:u w:val="single"/>
    </w:rPr>
  </w:style>
  <w:style w:type="paragraph" w:styleId="Header">
    <w:name w:val="header"/>
    <w:basedOn w:val="Normal"/>
    <w:link w:val="HeaderChar"/>
    <w:uiPriority w:val="99"/>
    <w:unhideWhenUsed/>
    <w:rsid w:val="00AB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9CF"/>
  </w:style>
  <w:style w:type="paragraph" w:styleId="Footer">
    <w:name w:val="footer"/>
    <w:basedOn w:val="Normal"/>
    <w:link w:val="FooterChar"/>
    <w:uiPriority w:val="99"/>
    <w:unhideWhenUsed/>
    <w:rsid w:val="00AB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9CF"/>
  </w:style>
  <w:style w:type="paragraph" w:styleId="BalloonText">
    <w:name w:val="Balloon Text"/>
    <w:basedOn w:val="Normal"/>
    <w:link w:val="BalloonTextChar"/>
    <w:uiPriority w:val="99"/>
    <w:semiHidden/>
    <w:unhideWhenUsed/>
    <w:rsid w:val="00FE3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FF"/>
    <w:rPr>
      <w:rFonts w:ascii="Segoe UI" w:hAnsi="Segoe UI" w:cs="Segoe UI"/>
      <w:sz w:val="18"/>
      <w:szCs w:val="18"/>
    </w:rPr>
  </w:style>
  <w:style w:type="character" w:styleId="CommentReference">
    <w:name w:val="annotation reference"/>
    <w:basedOn w:val="DefaultParagraphFont"/>
    <w:uiPriority w:val="99"/>
    <w:semiHidden/>
    <w:unhideWhenUsed/>
    <w:rsid w:val="002F7246"/>
    <w:rPr>
      <w:sz w:val="16"/>
      <w:szCs w:val="16"/>
    </w:rPr>
  </w:style>
  <w:style w:type="paragraph" w:styleId="CommentText">
    <w:name w:val="annotation text"/>
    <w:basedOn w:val="Normal"/>
    <w:link w:val="CommentTextChar"/>
    <w:uiPriority w:val="99"/>
    <w:semiHidden/>
    <w:unhideWhenUsed/>
    <w:rsid w:val="002F7246"/>
    <w:pPr>
      <w:spacing w:line="240" w:lineRule="auto"/>
    </w:pPr>
    <w:rPr>
      <w:sz w:val="20"/>
      <w:szCs w:val="20"/>
    </w:rPr>
  </w:style>
  <w:style w:type="character" w:customStyle="1" w:styleId="CommentTextChar">
    <w:name w:val="Comment Text Char"/>
    <w:basedOn w:val="DefaultParagraphFont"/>
    <w:link w:val="CommentText"/>
    <w:uiPriority w:val="99"/>
    <w:semiHidden/>
    <w:rsid w:val="002F7246"/>
    <w:rPr>
      <w:sz w:val="20"/>
      <w:szCs w:val="20"/>
    </w:rPr>
  </w:style>
  <w:style w:type="paragraph" w:styleId="CommentSubject">
    <w:name w:val="annotation subject"/>
    <w:basedOn w:val="CommentText"/>
    <w:next w:val="CommentText"/>
    <w:link w:val="CommentSubjectChar"/>
    <w:uiPriority w:val="99"/>
    <w:semiHidden/>
    <w:unhideWhenUsed/>
    <w:rsid w:val="002F7246"/>
    <w:rPr>
      <w:b/>
      <w:bCs/>
    </w:rPr>
  </w:style>
  <w:style w:type="character" w:customStyle="1" w:styleId="CommentSubjectChar">
    <w:name w:val="Comment Subject Char"/>
    <w:basedOn w:val="CommentTextChar"/>
    <w:link w:val="CommentSubject"/>
    <w:uiPriority w:val="99"/>
    <w:semiHidden/>
    <w:rsid w:val="002F7246"/>
    <w:rPr>
      <w:b/>
      <w:bCs/>
      <w:sz w:val="20"/>
      <w:szCs w:val="20"/>
    </w:rPr>
  </w:style>
  <w:style w:type="paragraph" w:styleId="NoSpacing">
    <w:name w:val="No Spacing"/>
    <w:uiPriority w:val="1"/>
    <w:qFormat/>
    <w:rsid w:val="004F567C"/>
    <w:pPr>
      <w:spacing w:after="0" w:line="240" w:lineRule="auto"/>
    </w:pPr>
    <w:rPr>
      <w:sz w:val="24"/>
      <w:szCs w:val="24"/>
      <w:lang w:val="en-AU"/>
    </w:rPr>
  </w:style>
  <w:style w:type="character" w:styleId="UnresolvedMention">
    <w:name w:val="Unresolved Mention"/>
    <w:basedOn w:val="DefaultParagraphFont"/>
    <w:uiPriority w:val="99"/>
    <w:unhideWhenUsed/>
    <w:rsid w:val="002C27C9"/>
    <w:rPr>
      <w:color w:val="605E5C"/>
      <w:shd w:val="clear" w:color="auto" w:fill="E1DFDD"/>
    </w:rPr>
  </w:style>
  <w:style w:type="character" w:styleId="Mention">
    <w:name w:val="Mention"/>
    <w:basedOn w:val="DefaultParagraphFont"/>
    <w:uiPriority w:val="99"/>
    <w:unhideWhenUsed/>
    <w:rsid w:val="002C27C9"/>
    <w:rPr>
      <w:color w:val="2B579A"/>
      <w:shd w:val="clear" w:color="auto" w:fill="E1DFDD"/>
    </w:rPr>
  </w:style>
  <w:style w:type="character" w:customStyle="1" w:styleId="Heading2Char">
    <w:name w:val="Heading 2 Char"/>
    <w:basedOn w:val="DefaultParagraphFont"/>
    <w:link w:val="Heading2"/>
    <w:uiPriority w:val="9"/>
    <w:rsid w:val="00560B2A"/>
    <w:rPr>
      <w:rFonts w:asciiTheme="majorHAnsi" w:eastAsiaTheme="majorEastAsia" w:hAnsiTheme="majorHAnsi" w:cstheme="majorBidi"/>
      <w:b/>
      <w:bCs/>
      <w:sz w:val="26"/>
      <w:szCs w:val="26"/>
      <w:lang w:val="en-AU"/>
    </w:rPr>
  </w:style>
  <w:style w:type="paragraph" w:styleId="Revision">
    <w:name w:val="Revision"/>
    <w:hidden/>
    <w:uiPriority w:val="99"/>
    <w:semiHidden/>
    <w:rsid w:val="00A860F4"/>
    <w:pPr>
      <w:spacing w:after="0" w:line="240" w:lineRule="auto"/>
    </w:pPr>
  </w:style>
  <w:style w:type="character" w:customStyle="1" w:styleId="Heading3Char">
    <w:name w:val="Heading 3 Char"/>
    <w:basedOn w:val="DefaultParagraphFont"/>
    <w:link w:val="Heading3"/>
    <w:uiPriority w:val="9"/>
    <w:rsid w:val="00F54802"/>
    <w:rPr>
      <w:b/>
      <w:color w:val="2EBDB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2E65D08B09249AA86126C2E73A37B" ma:contentTypeVersion="12" ma:contentTypeDescription="Create a new document." ma:contentTypeScope="" ma:versionID="a0a0183b4adf56155a7fa952db5a2b82">
  <xsd:schema xmlns:xsd="http://www.w3.org/2001/XMLSchema" xmlns:xs="http://www.w3.org/2001/XMLSchema" xmlns:p="http://schemas.microsoft.com/office/2006/metadata/properties" xmlns:ns2="4a1a83cc-3c6f-4aee-82c9-1f387113e2a2" xmlns:ns3="34cf360f-731d-432b-9770-478939b3819a" targetNamespace="http://schemas.microsoft.com/office/2006/metadata/properties" ma:root="true" ma:fieldsID="0583477c9ba9792b8a2ce23808dae823" ns2:_="" ns3:_="">
    <xsd:import namespace="4a1a83cc-3c6f-4aee-82c9-1f387113e2a2"/>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83cc-3c6f-4aee-82c9-1f387113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cf360f-731d-432b-9770-478939b3819a">
      <UserInfo>
        <DisplayName>ACL_Hub</DisplayName>
        <AccountId>133</AccountId>
        <AccountType/>
      </UserInfo>
      <UserInfo>
        <DisplayName>ACL_Full_Access</DisplayName>
        <AccountId>132</AccountId>
        <AccountType/>
      </UserInfo>
    </SharedWithUsers>
  </documentManagement>
</p:properties>
</file>

<file path=customXml/itemProps1.xml><?xml version="1.0" encoding="utf-8"?>
<ds:datastoreItem xmlns:ds="http://schemas.openxmlformats.org/officeDocument/2006/customXml" ds:itemID="{CEF96C04-C17C-47F2-AF3F-74E00F806E3F}">
  <ds:schemaRefs>
    <ds:schemaRef ds:uri="http://schemas.microsoft.com/sharepoint/v3/contenttype/forms"/>
  </ds:schemaRefs>
</ds:datastoreItem>
</file>

<file path=customXml/itemProps2.xml><?xml version="1.0" encoding="utf-8"?>
<ds:datastoreItem xmlns:ds="http://schemas.openxmlformats.org/officeDocument/2006/customXml" ds:itemID="{4E8BD2BB-8308-4590-BC84-766D9D36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83cc-3c6f-4aee-82c9-1f387113e2a2"/>
    <ds:schemaRef ds:uri="34cf360f-731d-432b-9770-478939b3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54A22-F006-4696-A1A4-BAC02835F68B}">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4a1a83cc-3c6f-4aee-82c9-1f387113e2a2"/>
    <ds:schemaRef ds:uri="34cf360f-731d-432b-9770-478939b3819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Bianca White</cp:lastModifiedBy>
  <cp:revision>59</cp:revision>
  <dcterms:created xsi:type="dcterms:W3CDTF">2020-09-30T02:32:00Z</dcterms:created>
  <dcterms:modified xsi:type="dcterms:W3CDTF">2020-11-26T22:10:00Z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0x0101005132E65D08B09249AA86126C2E73A37B</vt:lpwstr>
  </property>
  <property fmtid="{D5CDD505-2E9C-101B-9397-08002B2CF9AE}" pid="3" name="DisposalClass">
    <vt:lpwstr/>
  </property>
  <property fmtid="{D5CDD505-2E9C-101B-9397-08002B2CF9AE}" pid="4" name="Portfolio">
    <vt:lpwstr>785;#Alcohol Culture Change|dc22b042-7d43-4eb0-aa70-38d025e70095</vt:lpwstr>
  </property>
  <property fmtid="{D5CDD505-2E9C-101B-9397-08002B2CF9AE}" pid="5" name="DocumentType">
    <vt:lpwstr/>
  </property>
  <property fmtid="{D5CDD505-2E9C-101B-9397-08002B2CF9AE}" pid="6" name="Product">
    <vt:lpwstr>4728;#LAA 2019-21 - Capacity Building|1b26982c-4822-452d-80a0-f0422c8ea691</vt:lpwstr>
  </property>
  <property fmtid="{D5CDD505-2E9C-101B-9397-08002B2CF9AE}" pid="7" name="ProgramName">
    <vt:lpwstr>4430;#Local Area Action|e2e6d146-cce9-438c-92bb-f478148337b0</vt:lpwstr>
  </property>
  <property fmtid="{D5CDD505-2E9C-101B-9397-08002B2CF9AE}" pid="8" name="OrganisationUnit">
    <vt:lpwstr>68;#Alcohol ＆ Tobacco|640fb2f3-66fb-4fc0-a684-52729469815f</vt:lpwstr>
  </property>
  <property fmtid="{D5CDD505-2E9C-101B-9397-08002B2CF9AE}" pid="9" name="BusinessClassification">
    <vt:lpwstr/>
  </property>
  <property fmtid="{D5CDD505-2E9C-101B-9397-08002B2CF9AE}" pid="10" name="AccountName">
    <vt:lpwstr/>
  </property>
  <property fmtid="{D5CDD505-2E9C-101B-9397-08002B2CF9AE}" pid="11" name="TaxKeyword">
    <vt:lpwstr/>
  </property>
  <property fmtid="{D5CDD505-2E9C-101B-9397-08002B2CF9AE}" pid="12" name="_dlc_DocIdItemGuid">
    <vt:lpwstr>5f6ca04e-0485-40c0-96b4-87dbf6e0cb7f</vt:lpwstr>
  </property>
</Properties>
</file>